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3CFECC" w14:textId="77777777" w:rsidR="008277AC" w:rsidRDefault="008277AC" w:rsidP="008277AC">
      <w:pPr>
        <w:pStyle w:val="a5"/>
        <w:jc w:val="center"/>
        <w:rPr>
          <w:rFonts w:ascii="Arial" w:hAnsi="Arial"/>
          <w:sz w:val="40"/>
          <w:szCs w:val="40"/>
          <w:lang w:val="el-GR"/>
        </w:rPr>
      </w:pPr>
      <w:r>
        <w:rPr>
          <w:noProof/>
        </w:rPr>
        <w:drawing>
          <wp:anchor distT="0" distB="0" distL="114300" distR="114300" simplePos="0" relativeHeight="251659264" behindDoc="0" locked="0" layoutInCell="1" allowOverlap="1" wp14:anchorId="47881869" wp14:editId="4B1D4571">
            <wp:simplePos x="0" y="0"/>
            <wp:positionH relativeFrom="margin">
              <wp:posOffset>-541020</wp:posOffset>
            </wp:positionH>
            <wp:positionV relativeFrom="paragraph">
              <wp:posOffset>-346075</wp:posOffset>
            </wp:positionV>
            <wp:extent cx="624840" cy="1042035"/>
            <wp:effectExtent l="0" t="0" r="3810" b="5715"/>
            <wp:wrapNone/>
            <wp:docPr id="1" name="Εικόνα 1"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Αποτέλεσμα εικόνας για τθψ"/>
                    <pic:cNvPicPr>
                      <a:picLocks noChangeAspect="1" noChangeArrowheads="1"/>
                    </pic:cNvPicPr>
                  </pic:nvPicPr>
                  <pic:blipFill>
                    <a:blip r:embed="rId4">
                      <a:extLst>
                        <a:ext uri="{28A0092B-C50C-407E-A947-70E740481C1C}">
                          <a14:useLocalDpi xmlns:a14="http://schemas.microsoft.com/office/drawing/2010/main" val="0"/>
                        </a:ext>
                      </a:extLst>
                    </a:blip>
                    <a:srcRect l="18381" t="6786" r="20457"/>
                    <a:stretch>
                      <a:fillRect/>
                    </a:stretch>
                  </pic:blipFill>
                  <pic:spPr bwMode="auto">
                    <a:xfrm>
                      <a:off x="0" y="0"/>
                      <a:ext cx="624840" cy="1042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3328">
        <w:rPr>
          <w:rFonts w:ascii="Arial" w:hAnsi="Arial"/>
          <w:sz w:val="40"/>
          <w:szCs w:val="40"/>
          <w:lang w:val="el-GR"/>
        </w:rPr>
        <w:t xml:space="preserve"> </w:t>
      </w:r>
      <w:r w:rsidRPr="007B063F">
        <w:rPr>
          <w:rFonts w:ascii="Arial" w:hAnsi="Arial"/>
          <w:sz w:val="40"/>
          <w:szCs w:val="40"/>
          <w:lang w:val="el-GR"/>
        </w:rPr>
        <w:t>ΠΟΛΥΤΕΧΝΕΙΟ ΚΡΗΤΗΣ</w:t>
      </w:r>
    </w:p>
    <w:p w14:paraId="3407DA69" w14:textId="77777777" w:rsidR="008277AC" w:rsidRPr="00866555" w:rsidRDefault="008277AC" w:rsidP="008277AC">
      <w:pPr>
        <w:pStyle w:val="a5"/>
        <w:jc w:val="center"/>
        <w:rPr>
          <w:rFonts w:ascii="Arial" w:hAnsi="Arial"/>
          <w:sz w:val="40"/>
          <w:szCs w:val="40"/>
          <w:lang w:val="el-GR"/>
        </w:rPr>
      </w:pPr>
      <w:r>
        <w:rPr>
          <w:rFonts w:ascii="Arial" w:hAnsi="Arial"/>
          <w:sz w:val="40"/>
          <w:szCs w:val="40"/>
          <w:lang w:val="el-GR"/>
        </w:rPr>
        <w:t xml:space="preserve">  </w:t>
      </w:r>
      <w:r w:rsidRPr="007B063F">
        <w:rPr>
          <w:rFonts w:ascii="Arial" w:hAnsi="Arial"/>
          <w:sz w:val="40"/>
          <w:szCs w:val="40"/>
          <w:lang w:val="el-GR"/>
        </w:rPr>
        <w:t>ΤΜΗΜΑ</w:t>
      </w:r>
      <w:r>
        <w:rPr>
          <w:rFonts w:ascii="Arial" w:hAnsi="Arial"/>
          <w:sz w:val="40"/>
          <w:szCs w:val="40"/>
          <w:lang w:val="el-GR"/>
        </w:rPr>
        <w:t xml:space="preserve"> </w:t>
      </w:r>
      <w:r w:rsidRPr="007B063F">
        <w:rPr>
          <w:rFonts w:ascii="Arial" w:hAnsi="Arial"/>
          <w:sz w:val="40"/>
          <w:szCs w:val="40"/>
          <w:lang w:val="el-GR"/>
        </w:rPr>
        <w:t>ΜΗΧΑΝΙΚΩΝ ΠΕΡΙΒΑΛΛΟΝΤΟΣ</w:t>
      </w:r>
      <w:r w:rsidRPr="007B063F">
        <w:rPr>
          <w:lang w:val="el-GR"/>
        </w:rPr>
        <w:t xml:space="preserve">  </w:t>
      </w:r>
    </w:p>
    <w:p w14:paraId="2C52C331" w14:textId="77777777" w:rsidR="008277AC" w:rsidRPr="00265B3F" w:rsidRDefault="008277AC" w:rsidP="008277AC">
      <w:pPr>
        <w:pStyle w:val="a5"/>
        <w:spacing w:before="1540" w:after="240"/>
        <w:jc w:val="center"/>
        <w:rPr>
          <w:color w:val="4472C4"/>
        </w:rPr>
      </w:pPr>
      <w:r w:rsidRPr="00A56F00">
        <w:rPr>
          <w:noProof/>
          <w:color w:val="4472C4"/>
        </w:rPr>
        <w:drawing>
          <wp:inline distT="0" distB="0" distL="0" distR="0" wp14:anchorId="3CFDDCF6" wp14:editId="7212AC32">
            <wp:extent cx="1414279" cy="754380"/>
            <wp:effectExtent l="0" t="0" r="0" b="7620"/>
            <wp:docPr id="143" name="Εικόνα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Εικόνα 143"/>
                    <pic:cNvPicPr/>
                  </pic:nvPicPr>
                  <pic:blipFill>
                    <a:blip r:embed="rId5" cstate="print">
                      <a:duotone>
                        <a:schemeClr val="accent1">
                          <a:shade val="45000"/>
                          <a:satMod val="135000"/>
                        </a:schemeClr>
                        <a:prstClr val="white"/>
                      </a:duotone>
                    </a:blip>
                    <a:stretch>
                      <a:fillRect/>
                    </a:stretch>
                  </pic:blipFill>
                  <pic:spPr>
                    <a:xfrm>
                      <a:off x="0" y="0"/>
                      <a:ext cx="1414145" cy="754380"/>
                    </a:xfrm>
                    <a:prstGeom prst="rect">
                      <a:avLst/>
                    </a:prstGeom>
                    <a:noFill/>
                    <a:ln>
                      <a:noFill/>
                    </a:ln>
                  </pic:spPr>
                </pic:pic>
              </a:graphicData>
            </a:graphic>
          </wp:inline>
        </w:drawing>
      </w:r>
    </w:p>
    <w:p w14:paraId="7E16E87E" w14:textId="1D940972" w:rsidR="008277AC" w:rsidRPr="008277AC" w:rsidRDefault="008277AC" w:rsidP="008277AC">
      <w:pPr>
        <w:pStyle w:val="a5"/>
        <w:pBdr>
          <w:top w:val="single" w:sz="8" w:space="1" w:color="4472C4"/>
          <w:bottom w:val="single" w:sz="8" w:space="1" w:color="4472C4"/>
        </w:pBdr>
        <w:jc w:val="center"/>
        <w:rPr>
          <w:rFonts w:cs="Times New Roman"/>
          <w:b/>
          <w:bCs/>
          <w:sz w:val="40"/>
          <w:szCs w:val="40"/>
          <w:lang w:val="el-GR"/>
        </w:rPr>
      </w:pPr>
      <w:r w:rsidRPr="008277AC">
        <w:rPr>
          <w:rFonts w:ascii="Arial" w:eastAsia="NSimSun" w:hAnsi="Arial" w:cs="Arial"/>
          <w:b/>
          <w:bCs/>
          <w:iCs/>
          <w:kern w:val="3"/>
          <w:sz w:val="36"/>
          <w:szCs w:val="36"/>
          <w:lang w:val="el-GR" w:eastAsia="zh-CN" w:bidi="hi-IN"/>
        </w:rPr>
        <w:t>XΛΩΡΙΩΣΗ</w:t>
      </w:r>
    </w:p>
    <w:p w14:paraId="13ACFFB1" w14:textId="533B0F9D" w:rsidR="008277AC" w:rsidRPr="00987239" w:rsidRDefault="008277AC" w:rsidP="008277AC">
      <w:pPr>
        <w:pStyle w:val="a5"/>
        <w:spacing w:before="480"/>
        <w:jc w:val="center"/>
        <w:rPr>
          <w:color w:val="4472C4"/>
        </w:rPr>
      </w:pPr>
      <w:r w:rsidRPr="00A56F00">
        <w:rPr>
          <w:noProof/>
          <w:color w:val="4472C4"/>
        </w:rPr>
        <w:drawing>
          <wp:inline distT="0" distB="0" distL="0" distR="0" wp14:anchorId="5164EA68" wp14:editId="27817585">
            <wp:extent cx="754380" cy="477910"/>
            <wp:effectExtent l="0" t="0" r="7620" b="0"/>
            <wp:docPr id="144" name="Εικόνα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Εικόνα 144"/>
                    <pic:cNvPicPr/>
                  </pic:nvPicPr>
                  <pic:blipFill>
                    <a:blip r:embed="rId6" cstate="print">
                      <a:duotone>
                        <a:schemeClr val="accent1">
                          <a:shade val="45000"/>
                          <a:satMod val="135000"/>
                        </a:schemeClr>
                        <a:prstClr val="white"/>
                      </a:duotone>
                    </a:blip>
                    <a:stretch>
                      <a:fillRect/>
                    </a:stretch>
                  </pic:blipFill>
                  <pic:spPr>
                    <a:xfrm>
                      <a:off x="0" y="0"/>
                      <a:ext cx="754380" cy="477520"/>
                    </a:xfrm>
                    <a:prstGeom prst="rect">
                      <a:avLst/>
                    </a:prstGeom>
                  </pic:spPr>
                </pic:pic>
              </a:graphicData>
            </a:graphic>
          </wp:inline>
        </w:drawing>
      </w:r>
    </w:p>
    <w:p w14:paraId="6ED9D92D" w14:textId="77777777" w:rsidR="008277AC" w:rsidRDefault="008277AC" w:rsidP="008277AC">
      <w:pPr>
        <w:pStyle w:val="a5"/>
        <w:jc w:val="center"/>
      </w:pPr>
    </w:p>
    <w:p w14:paraId="366D962C" w14:textId="77777777" w:rsidR="008277AC" w:rsidRDefault="008277AC" w:rsidP="008277AC">
      <w:pPr>
        <w:pStyle w:val="a5"/>
        <w:rPr>
          <w:lang w:val="el-GR"/>
        </w:rPr>
      </w:pPr>
    </w:p>
    <w:tbl>
      <w:tblPr>
        <w:tblpPr w:leftFromText="180" w:rightFromText="180" w:vertAnchor="text" w:horzAnchor="margin" w:tblpXSpec="center" w:tblpY="505"/>
        <w:tblW w:w="88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22"/>
        <w:gridCol w:w="4423"/>
      </w:tblGrid>
      <w:tr w:rsidR="008277AC" w:rsidRPr="00265B3F" w14:paraId="62A5B97E" w14:textId="77777777" w:rsidTr="00117149">
        <w:trPr>
          <w:trHeight w:val="380"/>
        </w:trPr>
        <w:tc>
          <w:tcPr>
            <w:tcW w:w="8845" w:type="dxa"/>
            <w:gridSpan w:val="2"/>
          </w:tcPr>
          <w:p w14:paraId="2526F585" w14:textId="77777777" w:rsidR="008277AC" w:rsidRPr="00F75FFA" w:rsidRDefault="008277AC" w:rsidP="00117149">
            <w:pPr>
              <w:pStyle w:val="TableContents"/>
              <w:jc w:val="center"/>
              <w:rPr>
                <w:rFonts w:ascii="Arial" w:hAnsi="Arial" w:cs="Arial"/>
                <w:iCs/>
                <w:sz w:val="28"/>
                <w:szCs w:val="28"/>
              </w:rPr>
            </w:pPr>
            <w:r>
              <w:rPr>
                <w:rFonts w:ascii="Arial" w:hAnsi="Arial" w:cs="Arial"/>
                <w:b/>
                <w:bCs/>
                <w:iCs/>
                <w:sz w:val="28"/>
                <w:szCs w:val="28"/>
              </w:rPr>
              <w:t xml:space="preserve">Μάθημα: </w:t>
            </w:r>
            <w:r>
              <w:t xml:space="preserve"> </w:t>
            </w:r>
            <w:r w:rsidRPr="005E4F27">
              <w:rPr>
                <w:rFonts w:ascii="Arial" w:hAnsi="Arial" w:cs="Arial"/>
                <w:b/>
                <w:bCs/>
                <w:iCs/>
              </w:rPr>
              <w:t>ΧΗΜΙΚΕΣ</w:t>
            </w:r>
            <w:r w:rsidRPr="004E3FFF">
              <w:rPr>
                <w:rFonts w:ascii="Arial" w:hAnsi="Arial" w:cs="Arial"/>
                <w:b/>
                <w:bCs/>
                <w:iCs/>
              </w:rPr>
              <w:t xml:space="preserve"> ΔΙΕΡΓΑΣΙΕΣ ΣΤΗΝ ΕΠΕΞΕΡΓΑΣΙΑ ΝΕΡΟΥ ΚΑΙ ΥΓΡΩΝ ΑΠΟΒΛΗΤΩΝ</w:t>
            </w:r>
          </w:p>
        </w:tc>
      </w:tr>
      <w:tr w:rsidR="008277AC" w:rsidRPr="00F75FFA" w14:paraId="433BEF01" w14:textId="77777777" w:rsidTr="00117149">
        <w:trPr>
          <w:trHeight w:val="380"/>
        </w:trPr>
        <w:tc>
          <w:tcPr>
            <w:tcW w:w="4422" w:type="dxa"/>
          </w:tcPr>
          <w:p w14:paraId="0ACA103C" w14:textId="77777777" w:rsidR="008277AC" w:rsidRPr="00F75FFA" w:rsidRDefault="008277AC" w:rsidP="00117149">
            <w:pPr>
              <w:pStyle w:val="TableContents"/>
              <w:rPr>
                <w:rFonts w:ascii="Arial" w:hAnsi="Arial" w:cs="Arial"/>
                <w:iCs/>
                <w:sz w:val="28"/>
                <w:szCs w:val="28"/>
              </w:rPr>
            </w:pPr>
            <w:r w:rsidRPr="00F75FFA">
              <w:rPr>
                <w:rFonts w:ascii="Arial" w:hAnsi="Arial" w:cs="Arial"/>
                <w:iCs/>
                <w:sz w:val="28"/>
                <w:szCs w:val="28"/>
              </w:rPr>
              <w:t>Ονοματεπώνυμο &amp; ΑΜ Φοιτητή</w:t>
            </w:r>
          </w:p>
        </w:tc>
        <w:tc>
          <w:tcPr>
            <w:tcW w:w="4423" w:type="dxa"/>
          </w:tcPr>
          <w:p w14:paraId="04DD9223" w14:textId="77777777" w:rsidR="008277AC" w:rsidRPr="00F75FFA" w:rsidRDefault="008277AC" w:rsidP="00117149">
            <w:pPr>
              <w:pStyle w:val="TableContents"/>
              <w:rPr>
                <w:rFonts w:ascii="Arial" w:hAnsi="Arial" w:cs="Arial"/>
                <w:iCs/>
                <w:sz w:val="28"/>
                <w:szCs w:val="28"/>
              </w:rPr>
            </w:pPr>
            <w:r w:rsidRPr="00F75FFA">
              <w:rPr>
                <w:rFonts w:ascii="Arial" w:hAnsi="Arial" w:cs="Arial"/>
                <w:iCs/>
                <w:sz w:val="28"/>
                <w:szCs w:val="28"/>
              </w:rPr>
              <w:t>Κυριακή Θεοχάρη  2018050043</w:t>
            </w:r>
          </w:p>
        </w:tc>
      </w:tr>
      <w:tr w:rsidR="008277AC" w:rsidRPr="00F75FFA" w14:paraId="674B4CF1" w14:textId="77777777" w:rsidTr="00117149">
        <w:trPr>
          <w:trHeight w:val="380"/>
        </w:trPr>
        <w:tc>
          <w:tcPr>
            <w:tcW w:w="4422" w:type="dxa"/>
          </w:tcPr>
          <w:p w14:paraId="6D4CCC3B" w14:textId="77777777" w:rsidR="008277AC" w:rsidRPr="00F75FFA" w:rsidRDefault="008277AC" w:rsidP="00117149">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3643EF97" w14:textId="77777777" w:rsidR="008277AC" w:rsidRPr="00F75FFA" w:rsidRDefault="008277AC" w:rsidP="00117149">
            <w:pPr>
              <w:pStyle w:val="Standard"/>
              <w:rPr>
                <w:rFonts w:ascii="Arial" w:hAnsi="Arial" w:cs="Arial"/>
                <w:iCs/>
                <w:sz w:val="28"/>
                <w:szCs w:val="28"/>
              </w:rPr>
            </w:pPr>
            <w:r w:rsidRPr="00F75FFA">
              <w:rPr>
                <w:rFonts w:ascii="Arial" w:hAnsi="Arial" w:cs="Arial"/>
                <w:iCs/>
                <w:sz w:val="28"/>
                <w:szCs w:val="28"/>
              </w:rPr>
              <w:t>Ατομική</w:t>
            </w:r>
          </w:p>
        </w:tc>
      </w:tr>
      <w:tr w:rsidR="008277AC" w:rsidRPr="00F75FFA" w14:paraId="7013AE0C" w14:textId="77777777" w:rsidTr="00117149">
        <w:trPr>
          <w:trHeight w:val="366"/>
        </w:trPr>
        <w:tc>
          <w:tcPr>
            <w:tcW w:w="4422" w:type="dxa"/>
          </w:tcPr>
          <w:p w14:paraId="4ED3B8A1" w14:textId="77777777" w:rsidR="008277AC" w:rsidRPr="00F75FFA" w:rsidRDefault="008277AC" w:rsidP="00117149">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2B5ED4BA" w14:textId="4398816E" w:rsidR="008277AC" w:rsidRPr="00F75FFA" w:rsidRDefault="008277AC" w:rsidP="00117149">
            <w:pPr>
              <w:pStyle w:val="Standard"/>
              <w:rPr>
                <w:rFonts w:ascii="Arial" w:hAnsi="Arial" w:cs="Arial"/>
                <w:iCs/>
                <w:sz w:val="28"/>
                <w:szCs w:val="28"/>
              </w:rPr>
            </w:pPr>
            <w:r>
              <w:rPr>
                <w:rFonts w:ascii="Arial" w:hAnsi="Arial" w:cs="Arial"/>
                <w:iCs/>
                <w:sz w:val="28"/>
                <w:szCs w:val="28"/>
              </w:rPr>
              <w:t>0</w:t>
            </w:r>
            <w:r>
              <w:rPr>
                <w:rFonts w:ascii="Arial" w:hAnsi="Arial" w:cs="Arial"/>
                <w:iCs/>
                <w:sz w:val="28"/>
                <w:szCs w:val="28"/>
              </w:rPr>
              <w:t>2</w:t>
            </w:r>
            <w:r w:rsidRPr="00F75FFA">
              <w:rPr>
                <w:rFonts w:ascii="Arial" w:hAnsi="Arial" w:cs="Arial"/>
                <w:iCs/>
                <w:sz w:val="28"/>
                <w:szCs w:val="28"/>
              </w:rPr>
              <w:t>/</w:t>
            </w:r>
            <w:r>
              <w:rPr>
                <w:rFonts w:ascii="Arial" w:hAnsi="Arial" w:cs="Arial"/>
                <w:iCs/>
                <w:sz w:val="28"/>
                <w:szCs w:val="28"/>
              </w:rPr>
              <w:t>1</w:t>
            </w:r>
            <w:r>
              <w:rPr>
                <w:rFonts w:ascii="Arial" w:hAnsi="Arial" w:cs="Arial"/>
                <w:iCs/>
                <w:sz w:val="28"/>
                <w:szCs w:val="28"/>
              </w:rPr>
              <w:t>2</w:t>
            </w:r>
            <w:r w:rsidRPr="00F75FFA">
              <w:rPr>
                <w:rFonts w:ascii="Arial" w:hAnsi="Arial" w:cs="Arial"/>
                <w:iCs/>
                <w:sz w:val="28"/>
                <w:szCs w:val="28"/>
              </w:rPr>
              <w:t>/202</w:t>
            </w:r>
            <w:r>
              <w:rPr>
                <w:rFonts w:ascii="Arial" w:hAnsi="Arial" w:cs="Arial"/>
                <w:iCs/>
                <w:sz w:val="28"/>
                <w:szCs w:val="28"/>
              </w:rPr>
              <w:t>1</w:t>
            </w:r>
          </w:p>
        </w:tc>
      </w:tr>
      <w:tr w:rsidR="008277AC" w:rsidRPr="00F75FFA" w14:paraId="57FB9CF4" w14:textId="77777777" w:rsidTr="00117149">
        <w:trPr>
          <w:trHeight w:val="380"/>
        </w:trPr>
        <w:tc>
          <w:tcPr>
            <w:tcW w:w="4422" w:type="dxa"/>
          </w:tcPr>
          <w:p w14:paraId="3E08F154" w14:textId="77777777" w:rsidR="008277AC" w:rsidRPr="00F75FFA" w:rsidRDefault="008277AC" w:rsidP="00117149">
            <w:pPr>
              <w:pStyle w:val="TableContents"/>
              <w:rPr>
                <w:rFonts w:ascii="Arial" w:hAnsi="Arial" w:cs="Arial"/>
                <w:iCs/>
                <w:sz w:val="28"/>
                <w:szCs w:val="28"/>
              </w:rPr>
            </w:pPr>
            <w:r w:rsidRPr="00F75FFA">
              <w:rPr>
                <w:rFonts w:ascii="Arial" w:hAnsi="Arial" w:cs="Arial"/>
                <w:iCs/>
                <w:sz w:val="28"/>
                <w:szCs w:val="28"/>
              </w:rPr>
              <w:t>Ημερομηνία Παράδοσης</w:t>
            </w:r>
            <w:r>
              <w:rPr>
                <w:rFonts w:ascii="Arial" w:hAnsi="Arial" w:cs="Arial"/>
                <w:iCs/>
                <w:sz w:val="28"/>
                <w:szCs w:val="28"/>
              </w:rPr>
              <w:t xml:space="preserve"> :</w:t>
            </w:r>
          </w:p>
        </w:tc>
        <w:tc>
          <w:tcPr>
            <w:tcW w:w="4423" w:type="dxa"/>
          </w:tcPr>
          <w:p w14:paraId="781EFDCD" w14:textId="646196E8" w:rsidR="008277AC" w:rsidRPr="00F75FFA" w:rsidRDefault="008277AC" w:rsidP="00117149">
            <w:pPr>
              <w:pStyle w:val="Standard"/>
              <w:rPr>
                <w:rFonts w:ascii="Arial" w:hAnsi="Arial" w:cs="Arial"/>
                <w:iCs/>
                <w:sz w:val="28"/>
                <w:szCs w:val="28"/>
              </w:rPr>
            </w:pPr>
            <w:r>
              <w:rPr>
                <w:rFonts w:ascii="Arial" w:hAnsi="Arial" w:cs="Arial"/>
                <w:iCs/>
                <w:sz w:val="28"/>
                <w:szCs w:val="28"/>
              </w:rPr>
              <w:t>1</w:t>
            </w:r>
            <w:r>
              <w:rPr>
                <w:rFonts w:ascii="Arial" w:hAnsi="Arial" w:cs="Arial"/>
                <w:iCs/>
                <w:sz w:val="28"/>
                <w:szCs w:val="28"/>
              </w:rPr>
              <w:t>4</w:t>
            </w:r>
            <w:r w:rsidRPr="00F75FFA">
              <w:rPr>
                <w:rFonts w:ascii="Arial" w:hAnsi="Arial" w:cs="Arial"/>
                <w:iCs/>
                <w:sz w:val="28"/>
                <w:szCs w:val="28"/>
              </w:rPr>
              <w:t>/</w:t>
            </w:r>
            <w:r>
              <w:rPr>
                <w:rFonts w:ascii="Arial" w:hAnsi="Arial" w:cs="Arial"/>
                <w:iCs/>
                <w:sz w:val="28"/>
                <w:szCs w:val="28"/>
              </w:rPr>
              <w:t>01</w:t>
            </w:r>
            <w:r w:rsidRPr="00F75FFA">
              <w:rPr>
                <w:rFonts w:ascii="Arial" w:hAnsi="Arial" w:cs="Arial"/>
                <w:iCs/>
                <w:sz w:val="28"/>
                <w:szCs w:val="28"/>
              </w:rPr>
              <w:t>/202</w:t>
            </w:r>
            <w:r>
              <w:rPr>
                <w:rFonts w:ascii="Arial" w:hAnsi="Arial" w:cs="Arial"/>
                <w:iCs/>
                <w:sz w:val="28"/>
                <w:szCs w:val="28"/>
              </w:rPr>
              <w:t>2</w:t>
            </w:r>
          </w:p>
        </w:tc>
      </w:tr>
    </w:tbl>
    <w:p w14:paraId="6AC123AA" w14:textId="77777777" w:rsidR="008277AC" w:rsidRDefault="008277AC" w:rsidP="008277AC"/>
    <w:p w14:paraId="0E822799" w14:textId="77777777" w:rsidR="008277AC" w:rsidRDefault="008277AC" w:rsidP="008277AC">
      <w:pPr>
        <w:jc w:val="right"/>
      </w:pPr>
    </w:p>
    <w:p w14:paraId="3235CF35" w14:textId="77777777" w:rsidR="008277AC" w:rsidRDefault="008277AC" w:rsidP="008277AC"/>
    <w:p w14:paraId="555AE7B0" w14:textId="77777777" w:rsidR="008277AC" w:rsidRDefault="008277AC" w:rsidP="008277AC"/>
    <w:p w14:paraId="1B773710" w14:textId="77777777" w:rsidR="008277AC" w:rsidRDefault="008277AC" w:rsidP="008277AC"/>
    <w:p w14:paraId="7EE40AA6" w14:textId="77777777" w:rsidR="008277AC" w:rsidRDefault="008277AC" w:rsidP="008277AC">
      <w:pPr>
        <w:spacing w:line="360" w:lineRule="auto"/>
        <w:jc w:val="both"/>
        <w:rPr>
          <w:i/>
          <w:iCs/>
        </w:rPr>
      </w:pPr>
    </w:p>
    <w:p w14:paraId="0BAA0EDE" w14:textId="77777777" w:rsidR="008277AC" w:rsidRDefault="008277AC" w:rsidP="008277AC">
      <w:pPr>
        <w:spacing w:line="360" w:lineRule="auto"/>
        <w:jc w:val="both"/>
        <w:rPr>
          <w:i/>
          <w:iCs/>
        </w:rPr>
      </w:pPr>
    </w:p>
    <w:p w14:paraId="75F3C1D6" w14:textId="77777777" w:rsidR="008277AC" w:rsidRDefault="008277AC" w:rsidP="008277AC">
      <w:pPr>
        <w:spacing w:line="360" w:lineRule="auto"/>
        <w:jc w:val="both"/>
        <w:rPr>
          <w:i/>
          <w:iCs/>
        </w:rPr>
      </w:pPr>
    </w:p>
    <w:p w14:paraId="3901CD99" w14:textId="77777777" w:rsidR="008277AC" w:rsidRDefault="008277AC" w:rsidP="008277AC">
      <w:pPr>
        <w:spacing w:line="360" w:lineRule="auto"/>
        <w:jc w:val="both"/>
        <w:rPr>
          <w:i/>
          <w:iCs/>
        </w:rPr>
      </w:pPr>
    </w:p>
    <w:p w14:paraId="51CAD100" w14:textId="77777777" w:rsidR="008277AC" w:rsidRDefault="008277AC" w:rsidP="008277AC">
      <w:pPr>
        <w:spacing w:line="360" w:lineRule="auto"/>
        <w:jc w:val="both"/>
        <w:rPr>
          <w:i/>
          <w:iCs/>
        </w:rPr>
      </w:pPr>
    </w:p>
    <w:p w14:paraId="394E66A7" w14:textId="1BD2D287" w:rsidR="008277AC" w:rsidRDefault="008277AC" w:rsidP="008277AC">
      <w:pPr>
        <w:spacing w:line="360" w:lineRule="auto"/>
        <w:jc w:val="both"/>
        <w:rPr>
          <w:i/>
          <w:iCs/>
        </w:rPr>
      </w:pPr>
    </w:p>
    <w:p w14:paraId="01E34C61" w14:textId="07F5D5B8" w:rsidR="008277AC" w:rsidRDefault="008277AC" w:rsidP="008277AC">
      <w:pPr>
        <w:spacing w:line="360" w:lineRule="auto"/>
        <w:jc w:val="both"/>
        <w:rPr>
          <w:i/>
          <w:iCs/>
        </w:rPr>
      </w:pPr>
    </w:p>
    <w:p w14:paraId="7D14BB53" w14:textId="1F635AED" w:rsidR="008277AC" w:rsidRDefault="008277AC" w:rsidP="008277AC">
      <w:pPr>
        <w:spacing w:line="360" w:lineRule="auto"/>
        <w:jc w:val="both"/>
        <w:rPr>
          <w:i/>
          <w:iCs/>
        </w:rPr>
      </w:pPr>
    </w:p>
    <w:p w14:paraId="41A40380" w14:textId="77777777" w:rsidR="008277AC" w:rsidRDefault="008277AC" w:rsidP="008277AC">
      <w:pPr>
        <w:spacing w:line="360" w:lineRule="auto"/>
        <w:jc w:val="both"/>
        <w:rPr>
          <w:i/>
          <w:iCs/>
        </w:rPr>
      </w:pPr>
    </w:p>
    <w:p w14:paraId="0D38EE5B" w14:textId="77777777" w:rsidR="008277AC" w:rsidRDefault="008277AC" w:rsidP="008277AC">
      <w:pPr>
        <w:spacing w:line="360" w:lineRule="auto"/>
        <w:jc w:val="both"/>
        <w:rPr>
          <w:i/>
          <w:iCs/>
        </w:rPr>
      </w:pPr>
    </w:p>
    <w:p w14:paraId="43B848D4" w14:textId="77777777" w:rsidR="008277AC" w:rsidRDefault="008277AC" w:rsidP="008277AC">
      <w:pPr>
        <w:pStyle w:val="9"/>
        <w:ind w:firstLine="0"/>
      </w:pPr>
      <w:r>
        <w:lastRenderedPageBreak/>
        <w:t>Σκοπός της διεργασίας</w:t>
      </w:r>
    </w:p>
    <w:p w14:paraId="0FCED4F2" w14:textId="77777777" w:rsidR="008277AC" w:rsidRDefault="008277AC" w:rsidP="008277AC">
      <w:pPr>
        <w:spacing w:line="360" w:lineRule="auto"/>
        <w:jc w:val="both"/>
        <w:rPr>
          <w:b w:val="0"/>
          <w:bCs w:val="0"/>
          <w:sz w:val="23"/>
        </w:rPr>
      </w:pPr>
      <w:r>
        <w:rPr>
          <w:b w:val="0"/>
          <w:bCs w:val="0"/>
          <w:sz w:val="23"/>
        </w:rPr>
        <w:t>Προσδιορισμός υπολειμματικού χλωρίου κατά τη χλωρίωση λυμάτων.</w:t>
      </w:r>
    </w:p>
    <w:p w14:paraId="57F44BF8" w14:textId="77777777" w:rsidR="008277AC" w:rsidRDefault="008277AC" w:rsidP="008277AC">
      <w:pPr>
        <w:spacing w:line="360" w:lineRule="auto"/>
        <w:jc w:val="both"/>
        <w:rPr>
          <w:i/>
          <w:iCs/>
        </w:rPr>
      </w:pPr>
    </w:p>
    <w:p w14:paraId="40D3A464" w14:textId="0EE73BF8" w:rsidR="008277AC" w:rsidRDefault="008277AC" w:rsidP="008277AC">
      <w:pPr>
        <w:spacing w:line="360" w:lineRule="auto"/>
        <w:jc w:val="both"/>
        <w:rPr>
          <w:b w:val="0"/>
          <w:bCs w:val="0"/>
          <w:i/>
          <w:iCs/>
          <w:sz w:val="23"/>
        </w:rPr>
      </w:pPr>
      <w:r>
        <w:rPr>
          <w:i/>
          <w:iCs/>
        </w:rPr>
        <w:t>Πειραματική διαδικασία</w:t>
      </w:r>
    </w:p>
    <w:p w14:paraId="12566F6A" w14:textId="77777777" w:rsidR="008277AC" w:rsidRDefault="008277AC" w:rsidP="008277AC">
      <w:pPr>
        <w:spacing w:line="360" w:lineRule="auto"/>
        <w:jc w:val="both"/>
        <w:rPr>
          <w:b w:val="0"/>
          <w:bCs w:val="0"/>
          <w:sz w:val="23"/>
        </w:rPr>
      </w:pPr>
      <w:r>
        <w:rPr>
          <w:b w:val="0"/>
          <w:bCs w:val="0"/>
          <w:sz w:val="23"/>
        </w:rPr>
        <w:t xml:space="preserve">Σε δύο κωνικές φιάλες  τοποθετούνται 100 </w:t>
      </w:r>
      <w:r>
        <w:rPr>
          <w:b w:val="0"/>
          <w:bCs w:val="0"/>
          <w:sz w:val="23"/>
          <w:lang w:val="en-US"/>
        </w:rPr>
        <w:t>ml</w:t>
      </w:r>
      <w:r>
        <w:rPr>
          <w:b w:val="0"/>
          <w:bCs w:val="0"/>
          <w:sz w:val="23"/>
        </w:rPr>
        <w:t xml:space="preserve"> αχλωρίωτου βιολογικά επεξεργασμένου λύματος και προστίθενται 0,5</w:t>
      </w:r>
      <w:r>
        <w:rPr>
          <w:b w:val="0"/>
          <w:bCs w:val="0"/>
          <w:sz w:val="23"/>
          <w:lang w:val="en-US"/>
        </w:rPr>
        <w:t>ml</w:t>
      </w:r>
      <w:r>
        <w:rPr>
          <w:b w:val="0"/>
          <w:bCs w:val="0"/>
          <w:sz w:val="23"/>
        </w:rPr>
        <w:t xml:space="preserve"> και 1,5</w:t>
      </w:r>
      <w:r>
        <w:rPr>
          <w:b w:val="0"/>
          <w:bCs w:val="0"/>
          <w:sz w:val="23"/>
          <w:lang w:val="en-US"/>
        </w:rPr>
        <w:t>ml</w:t>
      </w:r>
      <w:r>
        <w:rPr>
          <w:b w:val="0"/>
          <w:bCs w:val="0"/>
          <w:sz w:val="23"/>
        </w:rPr>
        <w:t xml:space="preserve"> από το χλωριωτικό μέσο (διάλυμα </w:t>
      </w:r>
      <w:r>
        <w:rPr>
          <w:b w:val="0"/>
          <w:bCs w:val="0"/>
          <w:sz w:val="23"/>
          <w:lang w:val="en-US"/>
        </w:rPr>
        <w:t>NaOCl</w:t>
      </w:r>
      <w:r>
        <w:rPr>
          <w:b w:val="0"/>
          <w:bCs w:val="0"/>
          <w:sz w:val="23"/>
        </w:rPr>
        <w:t xml:space="preserve"> συγκέντρωσης 300 </w:t>
      </w:r>
      <w:r>
        <w:rPr>
          <w:b w:val="0"/>
          <w:bCs w:val="0"/>
          <w:sz w:val="23"/>
          <w:lang w:val="en-US"/>
        </w:rPr>
        <w:t>mg</w:t>
      </w:r>
      <w:r>
        <w:rPr>
          <w:b w:val="0"/>
          <w:bCs w:val="0"/>
          <w:sz w:val="23"/>
        </w:rPr>
        <w:t>/</w:t>
      </w:r>
      <w:r>
        <w:rPr>
          <w:b w:val="0"/>
          <w:bCs w:val="0"/>
          <w:sz w:val="23"/>
          <w:lang w:val="en-US"/>
        </w:rPr>
        <w:t>L</w:t>
      </w:r>
      <w:r>
        <w:rPr>
          <w:b w:val="0"/>
          <w:bCs w:val="0"/>
          <w:sz w:val="23"/>
        </w:rPr>
        <w:t xml:space="preserve"> σε ενεργό χλώριο) έτσι ώστε η δόση του χλωρίου να είναι 1,5 </w:t>
      </w:r>
      <w:r>
        <w:rPr>
          <w:b w:val="0"/>
          <w:bCs w:val="0"/>
          <w:sz w:val="23"/>
          <w:lang w:val="en-US"/>
        </w:rPr>
        <w:t>mg</w:t>
      </w:r>
      <w:r>
        <w:rPr>
          <w:b w:val="0"/>
          <w:bCs w:val="0"/>
          <w:sz w:val="23"/>
        </w:rPr>
        <w:t>/</w:t>
      </w:r>
      <w:r>
        <w:rPr>
          <w:b w:val="0"/>
          <w:bCs w:val="0"/>
          <w:sz w:val="23"/>
          <w:lang w:val="en-US"/>
        </w:rPr>
        <w:t>L</w:t>
      </w:r>
      <w:r>
        <w:rPr>
          <w:b w:val="0"/>
          <w:bCs w:val="0"/>
          <w:sz w:val="23"/>
        </w:rPr>
        <w:t xml:space="preserve"> και 4,5 </w:t>
      </w:r>
      <w:r>
        <w:rPr>
          <w:b w:val="0"/>
          <w:bCs w:val="0"/>
          <w:sz w:val="23"/>
          <w:lang w:val="en-US"/>
        </w:rPr>
        <w:t>mg</w:t>
      </w:r>
      <w:r>
        <w:rPr>
          <w:b w:val="0"/>
          <w:bCs w:val="0"/>
          <w:sz w:val="23"/>
        </w:rPr>
        <w:t>/</w:t>
      </w:r>
      <w:r>
        <w:rPr>
          <w:b w:val="0"/>
          <w:bCs w:val="0"/>
          <w:sz w:val="23"/>
          <w:lang w:val="en-US"/>
        </w:rPr>
        <w:t>L</w:t>
      </w:r>
      <w:r>
        <w:rPr>
          <w:b w:val="0"/>
          <w:bCs w:val="0"/>
          <w:sz w:val="23"/>
        </w:rPr>
        <w:t xml:space="preserve"> αντίστοιχα. Στη συνέχεια οι φιάλες τοποθετούνται στην τράπεζα ανακίνησης και αφήνονται υπό σταθερή ανάδευση (περίπου 150</w:t>
      </w:r>
      <w:r>
        <w:rPr>
          <w:b w:val="0"/>
          <w:bCs w:val="0"/>
          <w:sz w:val="23"/>
          <w:lang w:val="en-US"/>
        </w:rPr>
        <w:t>rpm</w:t>
      </w:r>
      <w:r>
        <w:rPr>
          <w:b w:val="0"/>
          <w:bCs w:val="0"/>
          <w:sz w:val="23"/>
        </w:rPr>
        <w:t xml:space="preserve">) για 15-20 λεπτά (χρόνος επαφής χλωρίου - λύματος). Μετά το πέρας των 15-20 λεπτών η ανάδευση σταματά και γίνεται μέτρηση σε κάθε δείγμα του ελεύθερου και του ολικού υπολειμματικού χλωρίου με τη μέθοδο της φασματοφωτομετρίας. Συγκεκριμένα, τόσο για το ελεύθερο όσο και για το ολικό υπολειμματικό χλώριο προστίθενται σε 5 </w:t>
      </w:r>
      <w:r>
        <w:rPr>
          <w:b w:val="0"/>
          <w:bCs w:val="0"/>
          <w:sz w:val="23"/>
          <w:lang w:val="en-US"/>
        </w:rPr>
        <w:t>ml</w:t>
      </w:r>
      <w:r>
        <w:rPr>
          <w:b w:val="0"/>
          <w:bCs w:val="0"/>
          <w:sz w:val="23"/>
        </w:rPr>
        <w:t xml:space="preserve"> δείγματος τα κατάλληλα αντιδραστήρια και αφήνονται να αντιδράσουν για 1 λεπτό. Από την αντίδραση αυτή προκύπτουν σύμπλοκα ροζ χρώματος και σε κάθε δείγμα μετριέται η απορρόφηση στα 557</w:t>
      </w:r>
      <w:r>
        <w:rPr>
          <w:b w:val="0"/>
          <w:bCs w:val="0"/>
          <w:sz w:val="23"/>
          <w:lang w:val="en-US"/>
        </w:rPr>
        <w:t>nm</w:t>
      </w:r>
      <w:r>
        <w:rPr>
          <w:b w:val="0"/>
          <w:bCs w:val="0"/>
          <w:sz w:val="23"/>
        </w:rPr>
        <w:t xml:space="preserve">. Ο ποσοτικός προσδιορισμός τους γίνεται βάση ευθειών βαθμονόμησης που προκύπτουν ακολουθώντας την ίδια διαδικασία με τα δείγματα σε πρότυπα διαλύματα που παρασκευάζονται στο εύρος των συγκεντρώσεων που αναμένεται το υπολειμματικό χλώριο μετά τη διαδικασία της χλωρίωσης, δηλ. 0 - 5 </w:t>
      </w:r>
      <w:r>
        <w:rPr>
          <w:b w:val="0"/>
          <w:bCs w:val="0"/>
          <w:sz w:val="23"/>
          <w:lang w:val="en-US"/>
        </w:rPr>
        <w:t>mg</w:t>
      </w:r>
      <w:r>
        <w:rPr>
          <w:b w:val="0"/>
          <w:bCs w:val="0"/>
          <w:sz w:val="23"/>
        </w:rPr>
        <w:t>/</w:t>
      </w:r>
      <w:r>
        <w:rPr>
          <w:b w:val="0"/>
          <w:bCs w:val="0"/>
          <w:sz w:val="23"/>
          <w:lang w:val="en-US"/>
        </w:rPr>
        <w:t>L</w:t>
      </w:r>
      <w:r>
        <w:rPr>
          <w:b w:val="0"/>
          <w:bCs w:val="0"/>
          <w:sz w:val="23"/>
        </w:rPr>
        <w:t>.</w:t>
      </w:r>
    </w:p>
    <w:p w14:paraId="18FCFC3E" w14:textId="77777777" w:rsidR="008277AC" w:rsidRDefault="008277AC" w:rsidP="008277AC">
      <w:pPr>
        <w:spacing w:line="360" w:lineRule="auto"/>
        <w:jc w:val="both"/>
        <w:rPr>
          <w:b w:val="0"/>
          <w:bCs w:val="0"/>
          <w:sz w:val="20"/>
        </w:rPr>
      </w:pPr>
    </w:p>
    <w:p w14:paraId="3C659BFC" w14:textId="77777777" w:rsidR="008277AC" w:rsidRDefault="008277AC" w:rsidP="008277AC">
      <w:pPr>
        <w:spacing w:line="360" w:lineRule="auto"/>
        <w:jc w:val="both"/>
        <w:rPr>
          <w:sz w:val="23"/>
        </w:rPr>
      </w:pPr>
      <w:r>
        <w:rPr>
          <w:i/>
          <w:iCs/>
        </w:rPr>
        <w:t>Υπολογισμοί</w:t>
      </w:r>
    </w:p>
    <w:p w14:paraId="211DD4A3" w14:textId="7745AD12" w:rsidR="008277AC" w:rsidRDefault="008277AC" w:rsidP="008277AC">
      <w:pPr>
        <w:spacing w:line="360" w:lineRule="auto"/>
        <w:jc w:val="both"/>
        <w:rPr>
          <w:b w:val="0"/>
          <w:bCs w:val="0"/>
          <w:sz w:val="23"/>
        </w:rPr>
      </w:pPr>
      <w:r>
        <w:rPr>
          <w:b w:val="0"/>
          <w:bCs w:val="0"/>
          <w:sz w:val="23"/>
        </w:rPr>
        <w:t>1). Υπολογισμός του ελεύθερου, του δεσμευμένου και του ολικού υπολειμματικού χλωρίου στα χλωριωμένα λύματα και με τις 2 δόσεις χλωρίου.</w:t>
      </w:r>
    </w:p>
    <w:p w14:paraId="470D89F1" w14:textId="77777777" w:rsidR="008277AC" w:rsidRPr="005C3A5C" w:rsidRDefault="008277AC" w:rsidP="008277AC">
      <w:pPr>
        <w:spacing w:line="360" w:lineRule="auto"/>
        <w:jc w:val="both"/>
        <w:rPr>
          <w:b w:val="0"/>
          <w:bCs w:val="0"/>
          <w:sz w:val="23"/>
        </w:rPr>
      </w:pPr>
    </w:p>
    <w:p w14:paraId="10732CA3" w14:textId="77777777" w:rsidR="008277AC" w:rsidRDefault="008277AC" w:rsidP="008277AC">
      <w:pPr>
        <w:spacing w:line="360" w:lineRule="auto"/>
        <w:jc w:val="both"/>
        <w:rPr>
          <w:b w:val="0"/>
          <w:bCs w:val="0"/>
          <w:sz w:val="23"/>
        </w:rPr>
      </w:pPr>
      <w:r>
        <w:rPr>
          <w:b w:val="0"/>
          <w:bCs w:val="0"/>
          <w:sz w:val="23"/>
        </w:rPr>
        <w:t>2). Επιλογή μεταξύ των 2 πειραματικών δοκιμών (για χρόνο επαφής 15-20 λεπτά) της βέλτιστης δόσης χλωρίου για το σχεδιασμό ενός συστήματος χλωρίωσης του λύματος που δόθηκε.</w:t>
      </w:r>
    </w:p>
    <w:p w14:paraId="42B9A40A" w14:textId="77777777" w:rsidR="000A35AC" w:rsidRDefault="000A35AC">
      <w:r>
        <w:t>ΚΡΙΤΗΡΙΑ ΕΠΙΛΟΓΗΣ ΑΠΟΛΥΜΑΝΤΙΚΟΥ ΜΕΣΟΥ</w:t>
      </w:r>
    </w:p>
    <w:p w14:paraId="5DFC7127" w14:textId="77777777" w:rsidR="000A35AC" w:rsidRDefault="000A35AC">
      <w:r>
        <w:t xml:space="preserve"> 1) Να είναι δραστικό σε όλες τις κατηγορίες μικροοργανισμών που παρουσιάζονται ή αναμένεται να παρουσιασθούν στο σύστημα εντός ενός εύλογου χρονικού διαστήματος και αναμενόμενου εύρους θερμοκρασιών.</w:t>
      </w:r>
    </w:p>
    <w:p w14:paraId="35326FDE" w14:textId="77777777" w:rsidR="000A35AC" w:rsidRDefault="000A35AC">
      <w:r>
        <w:t xml:space="preserve"> 2) Να είναι αποτελεσματικό και σε διακυμάνσεις στη σύνθεση, συγκέντρωση, και συνθήκες του νερού ή υγρού αποβλήτου προς επεξεργασία </w:t>
      </w:r>
    </w:p>
    <w:p w14:paraId="23FD844D" w14:textId="77777777" w:rsidR="000A35AC" w:rsidRDefault="000A35AC">
      <w:r>
        <w:t>3) Να μην είναι τοξικό για τον άνθρωπο και τα οικιακά ζώα ούτε με δυσάρεστη γεύση στις επιθυμητές συγκεντρώσεις</w:t>
      </w:r>
    </w:p>
    <w:p w14:paraId="77383AE4" w14:textId="77777777" w:rsidR="000A35AC" w:rsidRDefault="000A35AC">
      <w:r>
        <w:t xml:space="preserve"> 4) Να συμφέρει οικονομικά η εφαρμογή του (πάγιο &amp; λειτουργικό κόστος), να είναι διαθέσιμο σε λογικό κόστος</w:t>
      </w:r>
    </w:p>
    <w:p w14:paraId="227C91C0" w14:textId="4338347D" w:rsidR="000636E6" w:rsidRDefault="000A35AC">
      <w:r>
        <w:t xml:space="preserve"> 5) Να είναι ασφαλής και εύκολη η αποθήκευση, μεταφορά, χειρισμός και εφαρμογή του.</w:t>
      </w:r>
    </w:p>
    <w:p w14:paraId="62A77EC8" w14:textId="77777777" w:rsidR="000A35AC" w:rsidRDefault="000A35AC">
      <w:r>
        <w:t>Η ισχύς του ή συγκέντρωση στο επεξεργασμένο νερό πρέπει να προσδιορίζεται εύκολα, γρήγορα και (κατά προτίμηση) αυτόματα</w:t>
      </w:r>
    </w:p>
    <w:p w14:paraId="77FCC84B" w14:textId="77777777" w:rsidR="000A35AC" w:rsidRDefault="000A35AC">
      <w:r>
        <w:t xml:space="preserve"> 7) Να μην δημιουργεί ανεπιθύμητα παραπροϊόντα (π.χ. χλωραμίνες, τριαλογονομεθάνια). </w:t>
      </w:r>
    </w:p>
    <w:p w14:paraId="1643FF52" w14:textId="77777777" w:rsidR="000A35AC" w:rsidRDefault="000A35AC">
      <w:r>
        <w:t>8) Να μην δημιουργεί σοβαρούς κινδύνους για το προσωπικό και το περιβάλλον.</w:t>
      </w:r>
    </w:p>
    <w:p w14:paraId="5E427C65" w14:textId="4BA85D25" w:rsidR="000A35AC" w:rsidRDefault="000A35AC">
      <w:r>
        <w:lastRenderedPageBreak/>
        <w:t xml:space="preserve"> 9) Να παραμένει στο απολυμασμένο νερό σε ικανή συγκέντρωση που θα παρέχει εύλογη υπολειμματική δράση (προστασία) έναντι πιθανής επανα-μόλυνσης πριν τη χρήση.</w:t>
      </w:r>
    </w:p>
    <w:p w14:paraId="150A327B" w14:textId="433F4A96" w:rsidR="00C87D9A" w:rsidRDefault="00C87D9A"/>
    <w:p w14:paraId="521AE5AD" w14:textId="77777777" w:rsidR="00C87D9A" w:rsidRDefault="00C87D9A">
      <w:r>
        <w:t xml:space="preserve">Γιατί δεν περιλαμβάνεται η χλωρίωση; </w:t>
      </w:r>
    </w:p>
    <w:p w14:paraId="6AB27FDC" w14:textId="77777777" w:rsidR="00C87D9A" w:rsidRDefault="00C87D9A">
      <w:r>
        <w:t xml:space="preserve">Το χλώριο (NaOCl, Ca(OCl)2 , Cl2 ) δεν θεωρείται «προχωρημένη» μέθοδος γιατί: </w:t>
      </w:r>
    </w:p>
    <w:p w14:paraId="1B74F833" w14:textId="77777777" w:rsidR="00C87D9A" w:rsidRDefault="00C87D9A">
      <w:r>
        <w:t>▪ σχηματίζει τοξικά και καρκινογενή παραπροϊόντα - disinfection by-products (DBP)</w:t>
      </w:r>
    </w:p>
    <w:p w14:paraId="67B1F092" w14:textId="77777777" w:rsidR="00C87D9A" w:rsidRDefault="00C87D9A">
      <w:r>
        <w:t xml:space="preserve"> ▪ προκαλεί διάβρωση</w:t>
      </w:r>
    </w:p>
    <w:p w14:paraId="77C0863C" w14:textId="77777777" w:rsidR="00C87D9A" w:rsidRDefault="00C87D9A">
      <w:r>
        <w:t xml:space="preserve"> ▪ τοξικότητα της χημικής ουσίας (ειδικά για αέριο χλώριο) και κίνδυνοι για την ασφάλεια και την υγεία</w:t>
      </w:r>
    </w:p>
    <w:p w14:paraId="6E1D3548" w14:textId="2FEAA029" w:rsidR="00C87D9A" w:rsidRDefault="00C87D9A">
      <w:r>
        <w:t xml:space="preserve"> ▪ αυξάνει την αλατότητα στον υδάτινο αποδέκτη</w:t>
      </w:r>
    </w:p>
    <w:p w14:paraId="5267747F" w14:textId="77777777" w:rsidR="00C87D9A" w:rsidRDefault="00C87D9A">
      <w:r>
        <w:t xml:space="preserve">Ο ρυθμός απολυμαντικής δράσης εξαρτάται από: </w:t>
      </w:r>
    </w:p>
    <w:p w14:paraId="50EB7AEA" w14:textId="77777777" w:rsidR="00C87D9A" w:rsidRDefault="00C87D9A">
      <w:r>
        <w:t>▪ το χρόνο επαφής</w:t>
      </w:r>
    </w:p>
    <w:p w14:paraId="01403742" w14:textId="77777777" w:rsidR="00C87D9A" w:rsidRDefault="00C87D9A">
      <w:r>
        <w:t xml:space="preserve"> ▪ την συγκέντρωση και το είδος του απολυμαντικού μέσου </w:t>
      </w:r>
    </w:p>
    <w:p w14:paraId="37B8155A" w14:textId="77777777" w:rsidR="00C87D9A" w:rsidRDefault="00C87D9A">
      <w:r>
        <w:t>▪ το είδος και τη συγκέντρωση των μικροοργανισμών</w:t>
      </w:r>
    </w:p>
    <w:p w14:paraId="2D92EF26" w14:textId="77777777" w:rsidR="00C87D9A" w:rsidRDefault="00C87D9A">
      <w:r>
        <w:t xml:space="preserve"> ▪ τη θερμοκρασία</w:t>
      </w:r>
    </w:p>
    <w:p w14:paraId="570F222E" w14:textId="78ED5C65" w:rsidR="00C87D9A" w:rsidRDefault="00C87D9A">
      <w:r>
        <w:t xml:space="preserve"> ▪ την φύση του υγρού (νερού ή λύματος)</w:t>
      </w:r>
    </w:p>
    <w:p w14:paraId="44FE757E" w14:textId="3ADCF88D" w:rsidR="00C87D9A" w:rsidRDefault="00C87D9A">
      <w:r>
        <w:rPr>
          <w:noProof/>
        </w:rPr>
        <w:drawing>
          <wp:inline distT="0" distB="0" distL="0" distR="0" wp14:anchorId="00A25A4F" wp14:editId="3B90BE30">
            <wp:extent cx="5760085" cy="3239770"/>
            <wp:effectExtent l="0" t="0" r="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760085" cy="3239770"/>
                    </a:xfrm>
                    <a:prstGeom prst="rect">
                      <a:avLst/>
                    </a:prstGeom>
                  </pic:spPr>
                </pic:pic>
              </a:graphicData>
            </a:graphic>
          </wp:inline>
        </w:drawing>
      </w:r>
    </w:p>
    <w:p w14:paraId="4A380D24" w14:textId="6926428D" w:rsidR="00C87D9A" w:rsidRDefault="002602C1">
      <w:r>
        <w:rPr>
          <w:noProof/>
        </w:rPr>
        <w:lastRenderedPageBreak/>
        <w:drawing>
          <wp:inline distT="0" distB="0" distL="0" distR="0" wp14:anchorId="5581F35B" wp14:editId="54F57F6C">
            <wp:extent cx="5760085" cy="3239770"/>
            <wp:effectExtent l="0" t="0" r="0" b="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085" cy="3239770"/>
                    </a:xfrm>
                    <a:prstGeom prst="rect">
                      <a:avLst/>
                    </a:prstGeom>
                  </pic:spPr>
                </pic:pic>
              </a:graphicData>
            </a:graphic>
          </wp:inline>
        </w:drawing>
      </w:r>
    </w:p>
    <w:p w14:paraId="7BD3FFC6" w14:textId="61F2D0EF" w:rsidR="002602C1" w:rsidRDefault="002602C1">
      <w:r>
        <w:t>Σελ 46</w:t>
      </w:r>
    </w:p>
    <w:sectPr w:rsidR="002602C1">
      <w:footerReference w:type="even" r:id="rId9"/>
      <w:footerReference w:type="default" r:id="rId10"/>
      <w:pgSz w:w="11906" w:h="16838" w:code="9"/>
      <w:pgMar w:top="1134" w:right="1134" w:bottom="1134" w:left="1701" w:header="851" w:footer="851" w:gutter="0"/>
      <w:pgNumType w:start="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841E44" w14:textId="77777777" w:rsidR="0009584F" w:rsidRDefault="003532B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4089E142" w14:textId="77777777" w:rsidR="0009584F" w:rsidRDefault="003532B1">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51A751" w14:textId="77777777" w:rsidR="0009584F" w:rsidRDefault="003532B1">
    <w:pPr>
      <w:pStyle w:val="a3"/>
      <w:framePr w:wrap="around" w:vAnchor="text" w:hAnchor="margin" w:xAlign="center" w:y="1"/>
      <w:rPr>
        <w:rStyle w:val="a4"/>
        <w:b w:val="0"/>
        <w:bCs w:val="0"/>
        <w:sz w:val="22"/>
        <w:lang w:val="en-US"/>
      </w:rPr>
    </w:pPr>
    <w:r>
      <w:rPr>
        <w:rStyle w:val="a4"/>
        <w:b w:val="0"/>
        <w:bCs w:val="0"/>
        <w:sz w:val="22"/>
        <w:lang w:val="en-US"/>
      </w:rPr>
      <w:t>-</w:t>
    </w:r>
    <w:r>
      <w:rPr>
        <w:rStyle w:val="a4"/>
        <w:b w:val="0"/>
        <w:bCs w:val="0"/>
        <w:sz w:val="22"/>
      </w:rPr>
      <w:fldChar w:fldCharType="begin"/>
    </w:r>
    <w:r>
      <w:rPr>
        <w:rStyle w:val="a4"/>
        <w:b w:val="0"/>
        <w:bCs w:val="0"/>
        <w:sz w:val="22"/>
      </w:rPr>
      <w:instrText xml:space="preserve">PAGE  </w:instrText>
    </w:r>
    <w:r>
      <w:rPr>
        <w:rStyle w:val="a4"/>
        <w:b w:val="0"/>
        <w:bCs w:val="0"/>
        <w:sz w:val="22"/>
      </w:rPr>
      <w:fldChar w:fldCharType="separate"/>
    </w:r>
    <w:r>
      <w:rPr>
        <w:rStyle w:val="a4"/>
        <w:b w:val="0"/>
        <w:bCs w:val="0"/>
        <w:noProof/>
        <w:sz w:val="22"/>
      </w:rPr>
      <w:t>6</w:t>
    </w:r>
    <w:r>
      <w:rPr>
        <w:rStyle w:val="a4"/>
        <w:b w:val="0"/>
        <w:bCs w:val="0"/>
        <w:sz w:val="22"/>
      </w:rPr>
      <w:fldChar w:fldCharType="end"/>
    </w:r>
    <w:r>
      <w:rPr>
        <w:rStyle w:val="a4"/>
        <w:b w:val="0"/>
        <w:bCs w:val="0"/>
        <w:sz w:val="22"/>
        <w:lang w:val="en-US"/>
      </w:rPr>
      <w:t>-</w:t>
    </w:r>
  </w:p>
  <w:p w14:paraId="028C9CF4" w14:textId="77777777" w:rsidR="0009584F" w:rsidRDefault="003532B1">
    <w:pPr>
      <w:pStyle w:val="a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77AC"/>
    <w:rsid w:val="000636E6"/>
    <w:rsid w:val="00097EC1"/>
    <w:rsid w:val="000A35AC"/>
    <w:rsid w:val="002602C1"/>
    <w:rsid w:val="003532B1"/>
    <w:rsid w:val="008277AC"/>
    <w:rsid w:val="00C87D9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1EC45"/>
  <w15:chartTrackingRefBased/>
  <w15:docId w15:val="{7F08DAC2-A556-44A2-8927-3F87F8D598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277AC"/>
    <w:pPr>
      <w:spacing w:after="0" w:line="240" w:lineRule="auto"/>
    </w:pPr>
    <w:rPr>
      <w:rFonts w:ascii="Times New Roman" w:eastAsia="Times New Roman" w:hAnsi="Times New Roman" w:cs="Times New Roman"/>
      <w:b/>
      <w:bCs/>
      <w:sz w:val="24"/>
      <w:szCs w:val="24"/>
      <w:lang w:val="el-GR"/>
    </w:rPr>
  </w:style>
  <w:style w:type="paragraph" w:styleId="9">
    <w:name w:val="heading 9"/>
    <w:basedOn w:val="a"/>
    <w:next w:val="a"/>
    <w:link w:val="9Char"/>
    <w:qFormat/>
    <w:rsid w:val="008277AC"/>
    <w:pPr>
      <w:keepNext/>
      <w:spacing w:line="360" w:lineRule="auto"/>
      <w:ind w:firstLine="284"/>
      <w:jc w:val="both"/>
      <w:outlineLvl w:val="8"/>
    </w:pPr>
    <w:rPr>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rsid w:val="008277AC"/>
    <w:pPr>
      <w:tabs>
        <w:tab w:val="center" w:pos="4153"/>
        <w:tab w:val="right" w:pos="8306"/>
      </w:tabs>
    </w:pPr>
  </w:style>
  <w:style w:type="character" w:customStyle="1" w:styleId="Char">
    <w:name w:val="Υποσέλιδο Char"/>
    <w:basedOn w:val="a0"/>
    <w:link w:val="a3"/>
    <w:rsid w:val="008277AC"/>
    <w:rPr>
      <w:rFonts w:ascii="Times New Roman" w:eastAsia="Times New Roman" w:hAnsi="Times New Roman" w:cs="Times New Roman"/>
      <w:b/>
      <w:bCs/>
      <w:sz w:val="24"/>
      <w:szCs w:val="24"/>
      <w:lang w:val="el-GR"/>
    </w:rPr>
  </w:style>
  <w:style w:type="character" w:styleId="a4">
    <w:name w:val="page number"/>
    <w:basedOn w:val="a0"/>
    <w:rsid w:val="008277AC"/>
  </w:style>
  <w:style w:type="paragraph" w:styleId="a5">
    <w:name w:val="No Spacing"/>
    <w:link w:val="Char0"/>
    <w:uiPriority w:val="1"/>
    <w:qFormat/>
    <w:rsid w:val="008277AC"/>
    <w:pPr>
      <w:spacing w:after="0" w:line="240" w:lineRule="auto"/>
    </w:pPr>
    <w:rPr>
      <w:rFonts w:eastAsiaTheme="minorEastAsia"/>
    </w:rPr>
  </w:style>
  <w:style w:type="character" w:customStyle="1" w:styleId="Char0">
    <w:name w:val="Χωρίς διάστιχο Char"/>
    <w:basedOn w:val="a0"/>
    <w:link w:val="a5"/>
    <w:uiPriority w:val="1"/>
    <w:rsid w:val="008277AC"/>
    <w:rPr>
      <w:rFonts w:eastAsiaTheme="minorEastAsia"/>
    </w:rPr>
  </w:style>
  <w:style w:type="paragraph" w:customStyle="1" w:styleId="Standard">
    <w:name w:val="Standard"/>
    <w:rsid w:val="008277AC"/>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8277AC"/>
    <w:pPr>
      <w:suppressLineNumbers/>
    </w:pPr>
  </w:style>
  <w:style w:type="character" w:customStyle="1" w:styleId="9Char">
    <w:name w:val="Επικεφαλίδα 9 Char"/>
    <w:basedOn w:val="a0"/>
    <w:link w:val="9"/>
    <w:rsid w:val="008277AC"/>
    <w:rPr>
      <w:rFonts w:ascii="Times New Roman" w:eastAsia="Times New Roman" w:hAnsi="Times New Roman" w:cs="Times New Roman"/>
      <w:b/>
      <w:bCs/>
      <w:i/>
      <w:iCs/>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fontTable" Target="fontTable.xml"/><Relationship Id="rId5" Type="http://schemas.openxmlformats.org/officeDocument/2006/relationships/image" Target="media/image2.png"/><Relationship Id="rId10" Type="http://schemas.openxmlformats.org/officeDocument/2006/relationships/footer" Target="footer2.xml"/><Relationship Id="rId4" Type="http://schemas.openxmlformats.org/officeDocument/2006/relationships/image" Target="media/image1.jpeg"/><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544</Words>
  <Characters>3105</Characters>
  <Application>Microsoft Office Word</Application>
  <DocSecurity>0</DocSecurity>
  <Lines>25</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2</cp:revision>
  <dcterms:created xsi:type="dcterms:W3CDTF">2021-12-27T17:17:00Z</dcterms:created>
  <dcterms:modified xsi:type="dcterms:W3CDTF">2021-12-27T17:44:00Z</dcterms:modified>
</cp:coreProperties>
</file>